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ADB" w:rsidRPr="00B34ADB" w:rsidRDefault="00B34ADB" w:rsidP="00B34ADB">
      <w:pPr>
        <w:shd w:val="clear" w:color="auto" w:fill="FFFFFF"/>
        <w:spacing w:after="0" w:line="240" w:lineRule="auto"/>
        <w:outlineLvl w:val="0"/>
        <w:rPr>
          <w:rFonts w:ascii="Georgia" w:eastAsia="Times New Roman" w:hAnsi="Georgia" w:cs="Times New Roman"/>
          <w:noProof/>
          <w:color w:val="111111"/>
          <w:kern w:val="36"/>
          <w:sz w:val="40"/>
          <w:szCs w:val="40"/>
        </w:rPr>
      </w:pPr>
      <w:r w:rsidRPr="00B34ADB">
        <w:rPr>
          <w:rFonts w:ascii="Georgia" w:eastAsia="Times New Roman" w:hAnsi="Georgia" w:cs="Times New Roman"/>
          <w:noProof/>
          <w:color w:val="111111"/>
          <w:kern w:val="36"/>
          <w:sz w:val="40"/>
          <w:szCs w:val="40"/>
        </w:rPr>
        <w:t>Standardization of apheresis collections for consistent cell product manufacturing</w:t>
      </w:r>
    </w:p>
    <w:p w:rsidR="00B34ADB" w:rsidRPr="00B34ADB" w:rsidRDefault="00B34ADB" w:rsidP="00B34ADB">
      <w:pPr>
        <w:shd w:val="clear" w:color="auto" w:fill="FFFFFF"/>
        <w:spacing w:after="0" w:line="240" w:lineRule="auto"/>
        <w:outlineLvl w:val="0"/>
        <w:rPr>
          <w:rFonts w:ascii="Arial" w:hAnsi="Arial" w:cs="Arial"/>
          <w:caps/>
          <w:noProof/>
          <w:color w:val="888888"/>
          <w:spacing w:val="15"/>
          <w:sz w:val="15"/>
          <w:szCs w:val="15"/>
        </w:rPr>
      </w:pPr>
      <w:r w:rsidRPr="00B34ADB">
        <w:rPr>
          <w:rFonts w:ascii="Arial" w:hAnsi="Arial" w:cs="Arial"/>
          <w:i/>
          <w:iCs/>
          <w:noProof/>
          <w:color w:val="888888"/>
          <w:sz w:val="15"/>
          <w:szCs w:val="15"/>
        </w:rPr>
        <w:t>by</w:t>
      </w:r>
      <w:r w:rsidRPr="00B34ADB">
        <w:rPr>
          <w:rStyle w:val="apple-converted-space"/>
          <w:rFonts w:ascii="Arial" w:hAnsi="Arial" w:cs="Arial"/>
          <w:i/>
          <w:iCs/>
          <w:noProof/>
          <w:color w:val="888888"/>
          <w:sz w:val="15"/>
          <w:szCs w:val="15"/>
        </w:rPr>
        <w:t> </w:t>
      </w:r>
      <w:r w:rsidRPr="00B34ADB">
        <w:rPr>
          <w:rStyle w:val="fn"/>
          <w:rFonts w:ascii="Arial" w:hAnsi="Arial" w:cs="Arial"/>
          <w:caps/>
          <w:noProof/>
          <w:color w:val="888888"/>
          <w:spacing w:val="15"/>
          <w:sz w:val="15"/>
          <w:szCs w:val="15"/>
        </w:rPr>
        <w:t>ALEXEY BERSENEV</w:t>
      </w:r>
      <w:r w:rsidRPr="00B34ADB">
        <w:rPr>
          <w:rStyle w:val="apple-converted-space"/>
          <w:rFonts w:ascii="Arial" w:hAnsi="Arial" w:cs="Arial"/>
          <w:i/>
          <w:iCs/>
          <w:noProof/>
          <w:color w:val="888888"/>
          <w:sz w:val="15"/>
          <w:szCs w:val="15"/>
        </w:rPr>
        <w:t> </w:t>
      </w:r>
      <w:r w:rsidRPr="00B34ADB">
        <w:rPr>
          <w:rFonts w:ascii="Arial" w:hAnsi="Arial" w:cs="Arial"/>
          <w:i/>
          <w:iCs/>
          <w:noProof/>
          <w:color w:val="888888"/>
          <w:sz w:val="15"/>
          <w:szCs w:val="15"/>
        </w:rPr>
        <w:t>on</w:t>
      </w:r>
      <w:r w:rsidRPr="00B34ADB">
        <w:rPr>
          <w:rStyle w:val="apple-converted-space"/>
          <w:rFonts w:ascii="Arial" w:hAnsi="Arial" w:cs="Arial"/>
          <w:i/>
          <w:iCs/>
          <w:noProof/>
          <w:color w:val="888888"/>
          <w:sz w:val="15"/>
          <w:szCs w:val="15"/>
        </w:rPr>
        <w:t> </w:t>
      </w:r>
      <w:r w:rsidRPr="00B34ADB">
        <w:rPr>
          <w:rFonts w:ascii="Arial" w:hAnsi="Arial" w:cs="Arial"/>
          <w:i/>
          <w:iCs/>
          <w:noProof/>
          <w:color w:val="888888"/>
          <w:sz w:val="15"/>
          <w:szCs w:val="15"/>
        </w:rPr>
        <w:t>JANUARY 30, 2016</w:t>
      </w:r>
      <w:r w:rsidRPr="00B34ADB">
        <w:rPr>
          <w:rStyle w:val="apple-converted-space"/>
          <w:rFonts w:ascii="Arial" w:hAnsi="Arial" w:cs="Arial"/>
          <w:i/>
          <w:iCs/>
          <w:noProof/>
          <w:color w:val="888888"/>
          <w:sz w:val="15"/>
          <w:szCs w:val="15"/>
        </w:rPr>
        <w:t> </w:t>
      </w:r>
      <w:r w:rsidRPr="00B34ADB">
        <w:rPr>
          <w:rFonts w:ascii="Arial" w:hAnsi="Arial" w:cs="Arial"/>
          <w:i/>
          <w:iCs/>
          <w:noProof/>
          <w:color w:val="888888"/>
          <w:sz w:val="15"/>
          <w:szCs w:val="15"/>
        </w:rPr>
        <w:t xml:space="preserve">  in</w:t>
      </w:r>
      <w:r w:rsidRPr="00B34ADB">
        <w:rPr>
          <w:rStyle w:val="apple-converted-space"/>
          <w:rFonts w:ascii="Arial" w:hAnsi="Arial" w:cs="Arial"/>
          <w:i/>
          <w:iCs/>
          <w:noProof/>
          <w:color w:val="888888"/>
          <w:sz w:val="15"/>
          <w:szCs w:val="15"/>
        </w:rPr>
        <w:t> </w:t>
      </w:r>
      <w:hyperlink r:id="rId5" w:history="1">
        <w:r w:rsidRPr="00B34ADB">
          <w:rPr>
            <w:rStyle w:val="Hyperlink"/>
            <w:rFonts w:ascii="Arial" w:hAnsi="Arial" w:cs="Arial"/>
            <w:caps/>
            <w:noProof/>
            <w:color w:val="888888"/>
            <w:spacing w:val="15"/>
            <w:sz w:val="15"/>
            <w:szCs w:val="15"/>
            <w:u w:val="none"/>
          </w:rPr>
          <w:t>CELL PRODUCT</w:t>
        </w:r>
      </w:hyperlink>
      <w:r w:rsidRPr="00B34ADB">
        <w:rPr>
          <w:rFonts w:ascii="Arial" w:hAnsi="Arial" w:cs="Arial"/>
          <w:caps/>
          <w:noProof/>
          <w:color w:val="888888"/>
          <w:spacing w:val="15"/>
          <w:sz w:val="15"/>
          <w:szCs w:val="15"/>
        </w:rPr>
        <w:t>,</w:t>
      </w:r>
      <w:r w:rsidRPr="00B34ADB">
        <w:rPr>
          <w:rStyle w:val="apple-converted-space"/>
          <w:rFonts w:ascii="Arial" w:hAnsi="Arial" w:cs="Arial"/>
          <w:caps/>
          <w:noProof/>
          <w:color w:val="888888"/>
          <w:spacing w:val="15"/>
          <w:sz w:val="15"/>
          <w:szCs w:val="15"/>
        </w:rPr>
        <w:t> </w:t>
      </w:r>
      <w:hyperlink r:id="rId6" w:history="1">
        <w:r w:rsidRPr="00B34ADB">
          <w:rPr>
            <w:rStyle w:val="Hyperlink"/>
            <w:rFonts w:ascii="Arial" w:hAnsi="Arial" w:cs="Arial"/>
            <w:caps/>
            <w:noProof/>
            <w:color w:val="888888"/>
            <w:spacing w:val="15"/>
            <w:sz w:val="15"/>
            <w:szCs w:val="15"/>
            <w:u w:val="none"/>
          </w:rPr>
          <w:t>CLINICAL LAB</w:t>
        </w:r>
      </w:hyperlink>
      <w:r w:rsidRPr="00B34ADB">
        <w:rPr>
          <w:rFonts w:ascii="Arial" w:hAnsi="Arial" w:cs="Arial"/>
          <w:caps/>
          <w:noProof/>
          <w:color w:val="888888"/>
          <w:spacing w:val="15"/>
          <w:sz w:val="15"/>
          <w:szCs w:val="15"/>
        </w:rPr>
        <w:t>,</w:t>
      </w:r>
      <w:r w:rsidRPr="00B34ADB">
        <w:rPr>
          <w:rStyle w:val="apple-converted-space"/>
          <w:rFonts w:ascii="Arial" w:hAnsi="Arial" w:cs="Arial"/>
          <w:caps/>
          <w:noProof/>
          <w:color w:val="888888"/>
          <w:spacing w:val="15"/>
          <w:sz w:val="15"/>
          <w:szCs w:val="15"/>
        </w:rPr>
        <w:t> </w:t>
      </w:r>
      <w:hyperlink r:id="rId7" w:history="1">
        <w:r w:rsidRPr="00B34ADB">
          <w:rPr>
            <w:rStyle w:val="Hyperlink"/>
            <w:rFonts w:ascii="Arial" w:hAnsi="Arial" w:cs="Arial"/>
            <w:caps/>
            <w:noProof/>
            <w:color w:val="888888"/>
            <w:spacing w:val="15"/>
            <w:sz w:val="15"/>
            <w:szCs w:val="15"/>
            <w:u w:val="none"/>
          </w:rPr>
          <w:t>CONFERENCES</w:t>
        </w:r>
      </w:hyperlink>
    </w:p>
    <w:p w:rsidR="00B34ADB" w:rsidRPr="00B34ADB" w:rsidRDefault="00B34ADB" w:rsidP="00B34ADB">
      <w:pPr>
        <w:shd w:val="clear" w:color="auto" w:fill="FFFFFF"/>
        <w:spacing w:after="0" w:line="240" w:lineRule="auto"/>
        <w:outlineLvl w:val="0"/>
        <w:rPr>
          <w:rFonts w:ascii="Arial" w:hAnsi="Arial" w:cs="Arial"/>
          <w:caps/>
          <w:noProof/>
          <w:color w:val="888888"/>
          <w:spacing w:val="15"/>
          <w:sz w:val="15"/>
          <w:szCs w:val="15"/>
        </w:rPr>
      </w:pPr>
    </w:p>
    <w:p w:rsidR="00B34ADB" w:rsidRPr="00B34ADB" w:rsidRDefault="00B34ADB" w:rsidP="00B34ADB">
      <w:pPr>
        <w:shd w:val="clear" w:color="auto" w:fill="FFFFFF"/>
        <w:spacing w:after="0" w:line="240" w:lineRule="auto"/>
        <w:outlineLvl w:val="0"/>
        <w:rPr>
          <w:rFonts w:ascii="Arial" w:hAnsi="Arial" w:cs="Arial"/>
          <w:caps/>
          <w:noProof/>
          <w:color w:val="888888"/>
          <w:spacing w:val="15"/>
          <w:sz w:val="15"/>
          <w:szCs w:val="15"/>
        </w:rPr>
      </w:pPr>
    </w:p>
    <w:p w:rsidR="00B34ADB" w:rsidRPr="00B34ADB" w:rsidRDefault="00B34ADB" w:rsidP="00B34ADB">
      <w:pPr>
        <w:shd w:val="clear" w:color="auto" w:fill="FFFFFF"/>
        <w:spacing w:after="0" w:line="330" w:lineRule="atLeast"/>
        <w:rPr>
          <w:rFonts w:ascii="Arial" w:eastAsia="Times New Roman" w:hAnsi="Arial" w:cs="Arial"/>
          <w:noProof/>
          <w:color w:val="111111"/>
          <w:sz w:val="23"/>
          <w:szCs w:val="23"/>
        </w:rPr>
      </w:pPr>
      <w:r w:rsidRPr="00B34ADB">
        <w:rPr>
          <w:rFonts w:ascii="Arial" w:eastAsia="Times New Roman" w:hAnsi="Arial" w:cs="Arial"/>
          <w:noProof/>
          <w:color w:val="111111"/>
          <w:sz w:val="23"/>
          <w:szCs w:val="23"/>
        </w:rPr>
        <w:t>With success and increasing interest to immunocellular therapies, apheresis became the most frequent incoming raw material for product manufacturing.  Everyone, who is involved in day-to-day processing of immunocellular therapy products, very familiar with a big variability of  apheresis collections. But, until now, professionals have not discussed openly manufacturing risks and potential solutions, related to variability of apheresis products. Speakers from two conferences that I’ve attended this week (see</w:t>
      </w:r>
      <w:r w:rsidRPr="00B34ADB">
        <w:rPr>
          <w:rFonts w:ascii="Arial" w:eastAsia="Times New Roman" w:hAnsi="Arial" w:cs="Arial"/>
          <w:noProof/>
          <w:color w:val="111111"/>
          <w:sz w:val="23"/>
        </w:rPr>
        <w:t> </w:t>
      </w:r>
      <w:hyperlink r:id="rId8" w:history="1">
        <w:r w:rsidRPr="00B34ADB">
          <w:rPr>
            <w:rFonts w:ascii="Arial" w:eastAsia="Times New Roman" w:hAnsi="Arial" w:cs="Arial"/>
            <w:noProof/>
            <w:color w:val="1E339E"/>
            <w:sz w:val="23"/>
            <w:u w:val="single"/>
          </w:rPr>
          <w:t>here</w:t>
        </w:r>
      </w:hyperlink>
      <w:r w:rsidRPr="00B34ADB">
        <w:rPr>
          <w:rFonts w:ascii="Arial" w:eastAsia="Times New Roman" w:hAnsi="Arial" w:cs="Arial"/>
          <w:noProof/>
          <w:color w:val="111111"/>
          <w:sz w:val="23"/>
        </w:rPr>
        <w:t> </w:t>
      </w:r>
      <w:r w:rsidRPr="00B34ADB">
        <w:rPr>
          <w:rFonts w:ascii="Arial" w:eastAsia="Times New Roman" w:hAnsi="Arial" w:cs="Arial"/>
          <w:noProof/>
          <w:color w:val="111111"/>
          <w:sz w:val="23"/>
          <w:szCs w:val="23"/>
        </w:rPr>
        <w:t>and</w:t>
      </w:r>
      <w:r w:rsidRPr="00B34ADB">
        <w:rPr>
          <w:rFonts w:ascii="Arial" w:eastAsia="Times New Roman" w:hAnsi="Arial" w:cs="Arial"/>
          <w:noProof/>
          <w:color w:val="111111"/>
          <w:sz w:val="23"/>
        </w:rPr>
        <w:t> </w:t>
      </w:r>
      <w:hyperlink r:id="rId9" w:history="1">
        <w:r w:rsidRPr="00B34ADB">
          <w:rPr>
            <w:rFonts w:ascii="Arial" w:eastAsia="Times New Roman" w:hAnsi="Arial" w:cs="Arial"/>
            <w:noProof/>
            <w:color w:val="1E339E"/>
            <w:sz w:val="23"/>
            <w:u w:val="single"/>
          </w:rPr>
          <w:t>here</w:t>
        </w:r>
      </w:hyperlink>
      <w:r w:rsidRPr="00B34ADB">
        <w:rPr>
          <w:rFonts w:ascii="Arial" w:eastAsia="Times New Roman" w:hAnsi="Arial" w:cs="Arial"/>
          <w:noProof/>
          <w:color w:val="111111"/>
          <w:sz w:val="23"/>
          <w:szCs w:val="23"/>
        </w:rPr>
        <w:t>), brought up these issues in relation to manufacturing of CAR T-cell products.</w:t>
      </w:r>
    </w:p>
    <w:p w:rsidR="00B34ADB" w:rsidRPr="00B34ADB" w:rsidRDefault="00B34ADB" w:rsidP="00B34ADB">
      <w:pPr>
        <w:shd w:val="clear" w:color="auto" w:fill="FFFFFF"/>
        <w:spacing w:after="352" w:line="330" w:lineRule="atLeast"/>
        <w:rPr>
          <w:rFonts w:ascii="Arial" w:eastAsia="Times New Roman" w:hAnsi="Arial" w:cs="Arial"/>
          <w:noProof/>
          <w:color w:val="111111"/>
          <w:sz w:val="23"/>
          <w:szCs w:val="23"/>
        </w:rPr>
      </w:pPr>
      <w:r w:rsidRPr="00B34ADB">
        <w:rPr>
          <w:rFonts w:ascii="Arial" w:eastAsia="Times New Roman" w:hAnsi="Arial" w:cs="Arial"/>
          <w:noProof/>
          <w:color w:val="111111"/>
          <w:sz w:val="23"/>
          <w:szCs w:val="23"/>
        </w:rPr>
        <w:t>While product manufacturing process becomes more and more defined, impact of external factors, such as incoming donor material and storage/ delivery (post-manufacturing logistics) are still poorly validated and standardized. These external factors, which have nothing to do with manufacturing, could totally kill your product.</w:t>
      </w:r>
    </w:p>
    <w:p w:rsidR="00B34ADB" w:rsidRPr="00B34ADB" w:rsidRDefault="00B34ADB" w:rsidP="00B34ADB">
      <w:pPr>
        <w:shd w:val="clear" w:color="auto" w:fill="FFFFFF"/>
        <w:spacing w:after="352" w:line="330" w:lineRule="atLeast"/>
        <w:rPr>
          <w:rFonts w:ascii="Arial" w:eastAsia="Times New Roman" w:hAnsi="Arial" w:cs="Arial"/>
          <w:noProof/>
          <w:color w:val="111111"/>
          <w:sz w:val="23"/>
          <w:szCs w:val="23"/>
        </w:rPr>
      </w:pPr>
      <w:r w:rsidRPr="00B34ADB">
        <w:rPr>
          <w:rFonts w:ascii="Arial" w:eastAsia="Times New Roman" w:hAnsi="Arial" w:cs="Arial"/>
          <w:noProof/>
          <w:color w:val="111111"/>
          <w:sz w:val="23"/>
          <w:szCs w:val="23"/>
        </w:rPr>
        <w:t>Why this issue is coming up more and more right now? While immunocellular therapy is developed in academic institution, the most (if not all) apheresis products get processed. However, significant fraction of patients with hematological malignancies have hugely abnormal hematopoiesis and peripheral blood profile. For example, apheresis product from CLL patient, contained 100 billion cells, could be composed of 99% leukemic blasts. This is extremely hard product to work with if you need to get very pure population of T-cells on day 0 of culture. To resolve apheresis collection variability problem, academics usually develop multiple processing pathways. Nonetheless, some products still may fail manufacturing due to “hard to work” composition of incoming apheresis material. The problem is greatly amplified in commercialization of T-cell therapies and technology transfer. Industry doesn’t want to take a risk of manufacturing failures, related to apheresis product. The trigger of public discussion was a progress of T-cell therapy to multicenter and multinational trials.</w:t>
      </w:r>
    </w:p>
    <w:p w:rsidR="00B34ADB" w:rsidRPr="00B34ADB" w:rsidRDefault="00B34ADB" w:rsidP="00B34ADB">
      <w:pPr>
        <w:shd w:val="clear" w:color="auto" w:fill="FFFFFF"/>
        <w:spacing w:after="352" w:line="330" w:lineRule="atLeast"/>
        <w:rPr>
          <w:rFonts w:ascii="Arial" w:eastAsia="Times New Roman" w:hAnsi="Arial" w:cs="Arial"/>
          <w:noProof/>
          <w:color w:val="111111"/>
          <w:sz w:val="23"/>
          <w:szCs w:val="23"/>
        </w:rPr>
      </w:pPr>
      <w:r w:rsidRPr="00B34ADB">
        <w:rPr>
          <w:rFonts w:ascii="Arial" w:eastAsia="Times New Roman" w:hAnsi="Arial" w:cs="Arial"/>
          <w:noProof/>
          <w:color w:val="111111"/>
          <w:sz w:val="23"/>
          <w:szCs w:val="23"/>
        </w:rPr>
        <w:t>Tim Oldham from Cell Therapies (Australia) gave 2 talks during Phacilitate Cell Gene Therapy meeting on a problem of managing apheresis for CAR T-cell products manufacturing. He said that the most variable and the most critical process in the whole auto- product manufacturing exercise is incoming donor material. The major issues, which developers facing with variable apheresis products are the following:</w:t>
      </w:r>
    </w:p>
    <w:p w:rsidR="00B34ADB" w:rsidRPr="00B34ADB" w:rsidRDefault="00B34ADB" w:rsidP="00B34ADB">
      <w:pPr>
        <w:numPr>
          <w:ilvl w:val="0"/>
          <w:numId w:val="1"/>
        </w:numPr>
        <w:shd w:val="clear" w:color="auto" w:fill="FFFFFF"/>
        <w:spacing w:after="0" w:line="330" w:lineRule="atLeast"/>
        <w:ind w:left="352"/>
        <w:rPr>
          <w:rFonts w:ascii="Arial" w:eastAsia="Times New Roman" w:hAnsi="Arial" w:cs="Arial"/>
          <w:noProof/>
          <w:color w:val="111111"/>
          <w:sz w:val="23"/>
          <w:szCs w:val="23"/>
        </w:rPr>
      </w:pPr>
      <w:r w:rsidRPr="00B34ADB">
        <w:rPr>
          <w:rFonts w:ascii="Arial" w:eastAsia="Times New Roman" w:hAnsi="Arial" w:cs="Arial"/>
          <w:noProof/>
          <w:color w:val="111111"/>
          <w:sz w:val="23"/>
          <w:szCs w:val="23"/>
        </w:rPr>
        <w:t>insufficient collection (low volume/ low cell number)</w:t>
      </w:r>
    </w:p>
    <w:p w:rsidR="00B34ADB" w:rsidRPr="00B34ADB" w:rsidRDefault="00B34ADB" w:rsidP="00B34ADB">
      <w:pPr>
        <w:numPr>
          <w:ilvl w:val="0"/>
          <w:numId w:val="1"/>
        </w:numPr>
        <w:shd w:val="clear" w:color="auto" w:fill="FFFFFF"/>
        <w:spacing w:after="0" w:line="330" w:lineRule="atLeast"/>
        <w:ind w:left="352"/>
        <w:rPr>
          <w:rFonts w:ascii="Arial" w:eastAsia="Times New Roman" w:hAnsi="Arial" w:cs="Arial"/>
          <w:noProof/>
          <w:color w:val="111111"/>
          <w:sz w:val="23"/>
          <w:szCs w:val="23"/>
        </w:rPr>
      </w:pPr>
      <w:r w:rsidRPr="00B34ADB">
        <w:rPr>
          <w:rFonts w:ascii="Arial" w:eastAsia="Times New Roman" w:hAnsi="Arial" w:cs="Arial"/>
          <w:noProof/>
          <w:color w:val="111111"/>
          <w:sz w:val="23"/>
          <w:szCs w:val="23"/>
        </w:rPr>
        <w:t>unmanageable contamination by unwanted cell populations (leukemic blasts, granulocytes, red blood cells)</w:t>
      </w:r>
    </w:p>
    <w:p w:rsidR="00B34ADB" w:rsidRPr="00B34ADB" w:rsidRDefault="00B34ADB" w:rsidP="00B34ADB">
      <w:pPr>
        <w:numPr>
          <w:ilvl w:val="0"/>
          <w:numId w:val="1"/>
        </w:numPr>
        <w:shd w:val="clear" w:color="auto" w:fill="FFFFFF"/>
        <w:spacing w:after="0" w:line="330" w:lineRule="atLeast"/>
        <w:ind w:left="352"/>
        <w:rPr>
          <w:rFonts w:ascii="Arial" w:eastAsia="Times New Roman" w:hAnsi="Arial" w:cs="Arial"/>
          <w:noProof/>
          <w:color w:val="111111"/>
          <w:sz w:val="23"/>
          <w:szCs w:val="23"/>
        </w:rPr>
      </w:pPr>
      <w:r w:rsidRPr="00B34ADB">
        <w:rPr>
          <w:rFonts w:ascii="Arial" w:eastAsia="Times New Roman" w:hAnsi="Arial" w:cs="Arial"/>
          <w:noProof/>
          <w:color w:val="111111"/>
          <w:sz w:val="23"/>
          <w:szCs w:val="23"/>
        </w:rPr>
        <w:lastRenderedPageBreak/>
        <w:t>unplanned 2-days collection (mostly applicable to mobilized HPC(A) products)</w:t>
      </w:r>
    </w:p>
    <w:p w:rsidR="00B34ADB" w:rsidRPr="00B34ADB" w:rsidRDefault="00B34ADB" w:rsidP="00B34ADB">
      <w:pPr>
        <w:shd w:val="clear" w:color="auto" w:fill="FFFFFF"/>
        <w:spacing w:after="352" w:line="330" w:lineRule="atLeast"/>
        <w:rPr>
          <w:rFonts w:ascii="Arial" w:eastAsia="Times New Roman" w:hAnsi="Arial" w:cs="Arial"/>
          <w:noProof/>
          <w:color w:val="111111"/>
          <w:sz w:val="23"/>
          <w:szCs w:val="23"/>
        </w:rPr>
      </w:pPr>
      <w:r w:rsidRPr="00B34ADB">
        <w:rPr>
          <w:rFonts w:ascii="Arial" w:eastAsia="Times New Roman" w:hAnsi="Arial" w:cs="Arial"/>
          <w:noProof/>
          <w:color w:val="111111"/>
          <w:sz w:val="23"/>
          <w:szCs w:val="23"/>
        </w:rPr>
        <w:t>Potential sources of apheresis product variability:</w:t>
      </w:r>
    </w:p>
    <w:p w:rsidR="00B34ADB" w:rsidRPr="00B34ADB" w:rsidRDefault="00B34ADB" w:rsidP="00B34ADB">
      <w:pPr>
        <w:numPr>
          <w:ilvl w:val="0"/>
          <w:numId w:val="2"/>
        </w:numPr>
        <w:shd w:val="clear" w:color="auto" w:fill="FFFFFF"/>
        <w:spacing w:after="0" w:line="330" w:lineRule="atLeast"/>
        <w:ind w:left="352"/>
        <w:rPr>
          <w:rFonts w:ascii="Arial" w:eastAsia="Times New Roman" w:hAnsi="Arial" w:cs="Arial"/>
          <w:noProof/>
          <w:color w:val="111111"/>
          <w:sz w:val="23"/>
          <w:szCs w:val="23"/>
        </w:rPr>
      </w:pPr>
      <w:r w:rsidRPr="00B34ADB">
        <w:rPr>
          <w:rFonts w:ascii="Arial" w:eastAsia="Times New Roman" w:hAnsi="Arial" w:cs="Arial"/>
          <w:noProof/>
          <w:color w:val="111111"/>
          <w:sz w:val="23"/>
          <w:szCs w:val="23"/>
        </w:rPr>
        <w:t>Donor (patient in auto- settings) – the most important single variability factor!</w:t>
      </w:r>
    </w:p>
    <w:p w:rsidR="00B34ADB" w:rsidRPr="00B34ADB" w:rsidRDefault="00B34ADB" w:rsidP="00B34ADB">
      <w:pPr>
        <w:numPr>
          <w:ilvl w:val="0"/>
          <w:numId w:val="2"/>
        </w:numPr>
        <w:shd w:val="clear" w:color="auto" w:fill="FFFFFF"/>
        <w:spacing w:after="0" w:line="330" w:lineRule="atLeast"/>
        <w:ind w:left="352"/>
        <w:rPr>
          <w:rFonts w:ascii="Arial" w:eastAsia="Times New Roman" w:hAnsi="Arial" w:cs="Arial"/>
          <w:noProof/>
          <w:color w:val="111111"/>
          <w:sz w:val="23"/>
          <w:szCs w:val="23"/>
        </w:rPr>
      </w:pPr>
      <w:r w:rsidRPr="00B34ADB">
        <w:rPr>
          <w:rFonts w:ascii="Arial" w:eastAsia="Times New Roman" w:hAnsi="Arial" w:cs="Arial"/>
          <w:noProof/>
          <w:color w:val="111111"/>
          <w:sz w:val="23"/>
          <w:szCs w:val="23"/>
        </w:rPr>
        <w:t>Collection device (apheresis machine)</w:t>
      </w:r>
    </w:p>
    <w:p w:rsidR="00B34ADB" w:rsidRPr="00B34ADB" w:rsidRDefault="00B34ADB" w:rsidP="00B34ADB">
      <w:pPr>
        <w:numPr>
          <w:ilvl w:val="0"/>
          <w:numId w:val="2"/>
        </w:numPr>
        <w:shd w:val="clear" w:color="auto" w:fill="FFFFFF"/>
        <w:spacing w:after="0" w:line="330" w:lineRule="atLeast"/>
        <w:ind w:left="352"/>
        <w:rPr>
          <w:rFonts w:ascii="Arial" w:eastAsia="Times New Roman" w:hAnsi="Arial" w:cs="Arial"/>
          <w:noProof/>
          <w:color w:val="111111"/>
          <w:sz w:val="23"/>
          <w:szCs w:val="23"/>
        </w:rPr>
      </w:pPr>
      <w:r w:rsidRPr="00B34ADB">
        <w:rPr>
          <w:rFonts w:ascii="Arial" w:eastAsia="Times New Roman" w:hAnsi="Arial" w:cs="Arial"/>
          <w:noProof/>
          <w:color w:val="111111"/>
          <w:sz w:val="23"/>
          <w:szCs w:val="23"/>
        </w:rPr>
        <w:t>Device operator (apheresis nurse)</w:t>
      </w:r>
    </w:p>
    <w:p w:rsidR="00B34ADB" w:rsidRPr="00B34ADB" w:rsidRDefault="00B34ADB" w:rsidP="00B34ADB">
      <w:pPr>
        <w:numPr>
          <w:ilvl w:val="0"/>
          <w:numId w:val="2"/>
        </w:numPr>
        <w:shd w:val="clear" w:color="auto" w:fill="FFFFFF"/>
        <w:spacing w:after="0" w:line="330" w:lineRule="atLeast"/>
        <w:ind w:left="352"/>
        <w:rPr>
          <w:rFonts w:ascii="Arial" w:eastAsia="Times New Roman" w:hAnsi="Arial" w:cs="Arial"/>
          <w:noProof/>
          <w:color w:val="111111"/>
          <w:sz w:val="23"/>
          <w:szCs w:val="23"/>
        </w:rPr>
      </w:pPr>
      <w:r w:rsidRPr="00B34ADB">
        <w:rPr>
          <w:rFonts w:ascii="Arial" w:eastAsia="Times New Roman" w:hAnsi="Arial" w:cs="Arial"/>
          <w:noProof/>
          <w:color w:val="111111"/>
          <w:sz w:val="23"/>
          <w:szCs w:val="23"/>
        </w:rPr>
        <w:t>Facility’s internal policies, scheduling and logistics</w:t>
      </w:r>
    </w:p>
    <w:p w:rsidR="00B34ADB" w:rsidRPr="00B34ADB" w:rsidRDefault="00B34ADB" w:rsidP="00B34ADB">
      <w:pPr>
        <w:shd w:val="clear" w:color="auto" w:fill="FFFFFF"/>
        <w:spacing w:after="352" w:line="330" w:lineRule="atLeast"/>
        <w:rPr>
          <w:rFonts w:ascii="Arial" w:eastAsia="Times New Roman" w:hAnsi="Arial" w:cs="Arial"/>
          <w:noProof/>
          <w:color w:val="111111"/>
          <w:sz w:val="23"/>
          <w:szCs w:val="23"/>
        </w:rPr>
      </w:pPr>
      <w:r w:rsidRPr="00B34ADB">
        <w:rPr>
          <w:rFonts w:ascii="Arial" w:eastAsia="Times New Roman" w:hAnsi="Arial" w:cs="Arial"/>
          <w:noProof/>
          <w:color w:val="111111"/>
          <w:sz w:val="23"/>
          <w:szCs w:val="23"/>
        </w:rPr>
        <w:t>Unfortunately, it is impossible to fully solve this problem by standardization, because you cannot standardize the patients. Every patient with the same disease could differ from another by chemotherapy regimen (some chemo- drugs kill T-cells), history of previous stem cell transplants and relapses, tumor burden, co-morbidities, immune system status and so on.</w:t>
      </w:r>
    </w:p>
    <w:p w:rsidR="00B34ADB" w:rsidRPr="00B34ADB" w:rsidRDefault="00B34ADB" w:rsidP="00B34ADB">
      <w:pPr>
        <w:shd w:val="clear" w:color="auto" w:fill="FFFFFF"/>
        <w:spacing w:after="352" w:line="330" w:lineRule="atLeast"/>
        <w:rPr>
          <w:rFonts w:ascii="Arial" w:eastAsia="Times New Roman" w:hAnsi="Arial" w:cs="Arial"/>
          <w:noProof/>
          <w:color w:val="111111"/>
          <w:sz w:val="23"/>
          <w:szCs w:val="23"/>
        </w:rPr>
      </w:pPr>
      <w:r w:rsidRPr="00B34ADB">
        <w:rPr>
          <w:rFonts w:ascii="Arial" w:eastAsia="Times New Roman" w:hAnsi="Arial" w:cs="Arial"/>
          <w:noProof/>
          <w:color w:val="111111"/>
          <w:sz w:val="23"/>
          <w:szCs w:val="23"/>
        </w:rPr>
        <w:t>There are 2 groups of potential reasons for manufacturing failure, related to incoming apheresis products:</w:t>
      </w:r>
    </w:p>
    <w:p w:rsidR="00B34ADB" w:rsidRPr="00B34ADB" w:rsidRDefault="00B34ADB" w:rsidP="00B34ADB">
      <w:pPr>
        <w:numPr>
          <w:ilvl w:val="0"/>
          <w:numId w:val="3"/>
        </w:numPr>
        <w:shd w:val="clear" w:color="auto" w:fill="FFFFFF"/>
        <w:spacing w:after="0" w:line="330" w:lineRule="atLeast"/>
        <w:ind w:left="352"/>
        <w:rPr>
          <w:rFonts w:ascii="Arial" w:eastAsia="Times New Roman" w:hAnsi="Arial" w:cs="Arial"/>
          <w:noProof/>
          <w:color w:val="111111"/>
          <w:sz w:val="23"/>
          <w:szCs w:val="23"/>
        </w:rPr>
      </w:pPr>
      <w:r w:rsidRPr="00B34ADB">
        <w:rPr>
          <w:rFonts w:ascii="Arial" w:eastAsia="Times New Roman" w:hAnsi="Arial" w:cs="Arial"/>
          <w:noProof/>
          <w:color w:val="111111"/>
          <w:sz w:val="23"/>
          <w:szCs w:val="23"/>
        </w:rPr>
        <w:t>number of targeted cell population is too low to begin with (example: absolute lymphocyte count close to zero in immunodepleted patient);</w:t>
      </w:r>
    </w:p>
    <w:p w:rsidR="00B34ADB" w:rsidRPr="00B34ADB" w:rsidRDefault="00B34ADB" w:rsidP="00B34ADB">
      <w:pPr>
        <w:numPr>
          <w:ilvl w:val="0"/>
          <w:numId w:val="3"/>
        </w:numPr>
        <w:shd w:val="clear" w:color="auto" w:fill="FFFFFF"/>
        <w:spacing w:after="0" w:line="330" w:lineRule="atLeast"/>
        <w:ind w:left="352"/>
        <w:rPr>
          <w:rFonts w:ascii="Arial" w:eastAsia="Times New Roman" w:hAnsi="Arial" w:cs="Arial"/>
          <w:noProof/>
          <w:color w:val="111111"/>
          <w:sz w:val="23"/>
          <w:szCs w:val="23"/>
        </w:rPr>
      </w:pPr>
      <w:r w:rsidRPr="00B34ADB">
        <w:rPr>
          <w:rFonts w:ascii="Arial" w:eastAsia="Times New Roman" w:hAnsi="Arial" w:cs="Arial"/>
          <w:noProof/>
          <w:color w:val="111111"/>
          <w:sz w:val="23"/>
          <w:szCs w:val="23"/>
        </w:rPr>
        <w:t>new process, validated on normal donors does not work for patient with hugely abnormal blood.</w:t>
      </w:r>
    </w:p>
    <w:p w:rsidR="00B34ADB" w:rsidRPr="00B34ADB" w:rsidRDefault="00B34ADB" w:rsidP="00B34ADB">
      <w:pPr>
        <w:shd w:val="clear" w:color="auto" w:fill="FFFFFF"/>
        <w:spacing w:after="352" w:line="330" w:lineRule="atLeast"/>
        <w:rPr>
          <w:rFonts w:ascii="Arial" w:eastAsia="Times New Roman" w:hAnsi="Arial" w:cs="Arial"/>
          <w:noProof/>
          <w:color w:val="111111"/>
          <w:sz w:val="23"/>
          <w:szCs w:val="23"/>
        </w:rPr>
      </w:pPr>
      <w:r w:rsidRPr="00B34ADB">
        <w:rPr>
          <w:rFonts w:ascii="Arial" w:eastAsia="Times New Roman" w:hAnsi="Arial" w:cs="Arial"/>
          <w:noProof/>
          <w:color w:val="111111"/>
          <w:sz w:val="23"/>
          <w:szCs w:val="23"/>
        </w:rPr>
        <w:t>Now, how can we solve or minimize the problem of apheresis product variability? One way to go is to standardize it by setting apheresis specs. As of now “minimal manufacturability requirements” largely unknown or “in the making”.</w:t>
      </w:r>
    </w:p>
    <w:p w:rsidR="00B34ADB" w:rsidRPr="00B34ADB" w:rsidRDefault="00B34ADB" w:rsidP="00B34ADB">
      <w:pPr>
        <w:shd w:val="clear" w:color="auto" w:fill="FFFFFF"/>
        <w:spacing w:after="0" w:line="330" w:lineRule="atLeast"/>
        <w:rPr>
          <w:rFonts w:ascii="Arial" w:eastAsia="Times New Roman" w:hAnsi="Arial" w:cs="Arial"/>
          <w:noProof/>
          <w:color w:val="111111"/>
          <w:sz w:val="23"/>
          <w:szCs w:val="23"/>
        </w:rPr>
      </w:pPr>
      <w:r w:rsidRPr="00B34ADB">
        <w:rPr>
          <w:rFonts w:ascii="Arial" w:eastAsia="Times New Roman" w:hAnsi="Arial" w:cs="Arial"/>
          <w:b/>
          <w:bCs/>
          <w:noProof/>
          <w:color w:val="111111"/>
          <w:sz w:val="23"/>
        </w:rPr>
        <w:t>Device/ operation/ protocol specs.</w:t>
      </w:r>
      <w:r w:rsidRPr="00B34ADB">
        <w:rPr>
          <w:rFonts w:ascii="Arial" w:eastAsia="Times New Roman" w:hAnsi="Arial" w:cs="Arial"/>
          <w:noProof/>
          <w:color w:val="111111"/>
          <w:sz w:val="23"/>
        </w:rPr>
        <w:t> </w:t>
      </w:r>
      <w:r w:rsidRPr="00B34ADB">
        <w:rPr>
          <w:rFonts w:ascii="Arial" w:eastAsia="Times New Roman" w:hAnsi="Arial" w:cs="Arial"/>
          <w:noProof/>
          <w:color w:val="111111"/>
          <w:sz w:val="23"/>
          <w:szCs w:val="23"/>
        </w:rPr>
        <w:t>Even though, apheresis collection parameters are standardized within one institution (by using the same program on the same device with the same operator’s protocol) from device and operation stand point, there is no harmonization between multiple collection centers. Will company-sponsor require such harmonization? As Oldham says, changing the current well established practice of particular collection facility in favor of CAR T-cell product manufacturing, is not trivial exercise. Ideally, collection outcome could be predicted by peripheral blood cell count (as it’s done in stem cell transplant by CD34+ cells), but it will require a lot of work. Most commercial developers keep them as a secret.</w:t>
      </w:r>
    </w:p>
    <w:p w:rsidR="00B34ADB" w:rsidRPr="00B34ADB" w:rsidRDefault="00B34ADB" w:rsidP="00B34ADB">
      <w:pPr>
        <w:shd w:val="clear" w:color="auto" w:fill="FFFFFF"/>
        <w:spacing w:after="0" w:line="330" w:lineRule="atLeast"/>
        <w:rPr>
          <w:rFonts w:ascii="Arial" w:eastAsia="Times New Roman" w:hAnsi="Arial" w:cs="Arial"/>
          <w:noProof/>
          <w:color w:val="111111"/>
          <w:sz w:val="23"/>
          <w:szCs w:val="23"/>
        </w:rPr>
      </w:pPr>
      <w:r w:rsidRPr="00B34ADB">
        <w:rPr>
          <w:rFonts w:ascii="Arial" w:eastAsia="Times New Roman" w:hAnsi="Arial" w:cs="Arial"/>
          <w:b/>
          <w:bCs/>
          <w:noProof/>
          <w:color w:val="111111"/>
          <w:sz w:val="23"/>
        </w:rPr>
        <w:t>Product specs.</w:t>
      </w:r>
      <w:r w:rsidRPr="00B34ADB">
        <w:rPr>
          <w:rFonts w:ascii="Arial" w:eastAsia="Times New Roman" w:hAnsi="Arial" w:cs="Arial"/>
          <w:noProof/>
          <w:color w:val="111111"/>
          <w:sz w:val="23"/>
        </w:rPr>
        <w:t> </w:t>
      </w:r>
      <w:r w:rsidRPr="00B34ADB">
        <w:rPr>
          <w:rFonts w:ascii="Arial" w:eastAsia="Times New Roman" w:hAnsi="Arial" w:cs="Arial"/>
          <w:noProof/>
          <w:color w:val="111111"/>
          <w:sz w:val="23"/>
          <w:szCs w:val="23"/>
        </w:rPr>
        <w:t>Another option, is to let collection centers to operate as per their SOPs, but set minimal specs for the products, which will go to manufacturing. For example, if absolute lymphocyte count in peripheral blood pre-collection or in apheresis below the limit, the risk of manufacturing failure is too high to collect/ accept product for processing. Unfortunately, based on these specs, some patients will be rejected by not meeting “criteria of manufacturability”.</w:t>
      </w:r>
    </w:p>
    <w:p w:rsidR="00B34ADB" w:rsidRPr="00B34ADB" w:rsidRDefault="00B34ADB" w:rsidP="00B34ADB">
      <w:pPr>
        <w:shd w:val="clear" w:color="auto" w:fill="FFFFFF"/>
        <w:spacing w:after="0" w:line="330" w:lineRule="atLeast"/>
        <w:rPr>
          <w:rFonts w:ascii="Arial" w:eastAsia="Times New Roman" w:hAnsi="Arial" w:cs="Arial"/>
          <w:noProof/>
          <w:color w:val="111111"/>
          <w:sz w:val="23"/>
          <w:szCs w:val="23"/>
        </w:rPr>
      </w:pPr>
      <w:r w:rsidRPr="00B34ADB">
        <w:rPr>
          <w:rFonts w:ascii="Arial" w:eastAsia="Times New Roman" w:hAnsi="Arial" w:cs="Arial"/>
          <w:b/>
          <w:bCs/>
          <w:noProof/>
          <w:color w:val="111111"/>
          <w:sz w:val="23"/>
        </w:rPr>
        <w:lastRenderedPageBreak/>
        <w:t>Multiple processing pathways.</w:t>
      </w:r>
      <w:r w:rsidRPr="00B34ADB">
        <w:rPr>
          <w:rFonts w:ascii="Arial" w:eastAsia="Times New Roman" w:hAnsi="Arial" w:cs="Arial"/>
          <w:noProof/>
          <w:color w:val="111111"/>
          <w:sz w:val="23"/>
        </w:rPr>
        <w:t> </w:t>
      </w:r>
      <w:r w:rsidRPr="00B34ADB">
        <w:rPr>
          <w:rFonts w:ascii="Arial" w:eastAsia="Times New Roman" w:hAnsi="Arial" w:cs="Arial"/>
          <w:noProof/>
          <w:color w:val="111111"/>
          <w:sz w:val="23"/>
          <w:szCs w:val="23"/>
        </w:rPr>
        <w:t>Finally, sponsor/ manufacturing facility could decide to not set strict collection specs, but accommodate all patients/ products. In this case, multiple manufacturing pathways should be developed, based on cell number and composition of incoming apheresis. Cell Therapies did exactly this and ended up with 5 different processing pathways. Unfortunately, for industry, this option means increase of complexity (and related risks). Multiple processing pathways may require more facility equipment (multiple devices), prolonged personnel training (know how to triage products for different pathways), less options for automation of entire process and more complex regulation.</w:t>
      </w:r>
    </w:p>
    <w:p w:rsidR="00B34ADB" w:rsidRPr="00B34ADB" w:rsidRDefault="00B34ADB" w:rsidP="00B34ADB">
      <w:pPr>
        <w:shd w:val="clear" w:color="auto" w:fill="FFFFFF"/>
        <w:spacing w:after="352" w:line="330" w:lineRule="atLeast"/>
        <w:rPr>
          <w:rFonts w:ascii="Arial" w:eastAsia="Times New Roman" w:hAnsi="Arial" w:cs="Arial"/>
          <w:noProof/>
          <w:color w:val="111111"/>
          <w:sz w:val="23"/>
          <w:szCs w:val="23"/>
        </w:rPr>
      </w:pPr>
      <w:r w:rsidRPr="00B34ADB">
        <w:rPr>
          <w:rFonts w:ascii="Arial" w:eastAsia="Times New Roman" w:hAnsi="Arial" w:cs="Arial"/>
          <w:noProof/>
          <w:color w:val="111111"/>
          <w:sz w:val="23"/>
          <w:szCs w:val="23"/>
        </w:rPr>
        <w:t>Oldham called for industry collaboration in data collection of apheresis products variability. Some sort of database could be created and publicly shared. He acknowledged that companies may not invest in setting of pre-collection specs or if the do, may not be willing to share the data. He says that this kind of data usually is not proprietary and sharing could greatly advance the field. Another hurdle is potential tension between company-sponsor, physicians, collection facility and manufacturing facility in the common decision making.</w:t>
      </w:r>
    </w:p>
    <w:p w:rsidR="00B34ADB" w:rsidRPr="00B34ADB" w:rsidRDefault="00B34ADB" w:rsidP="00B34ADB">
      <w:pPr>
        <w:shd w:val="clear" w:color="auto" w:fill="FFFFFF"/>
        <w:spacing w:after="352" w:line="330" w:lineRule="atLeast"/>
        <w:rPr>
          <w:rFonts w:ascii="Arial" w:eastAsia="Times New Roman" w:hAnsi="Arial" w:cs="Arial"/>
          <w:noProof/>
          <w:color w:val="111111"/>
          <w:sz w:val="23"/>
          <w:szCs w:val="23"/>
        </w:rPr>
      </w:pPr>
      <w:r w:rsidRPr="00B34ADB">
        <w:rPr>
          <w:rFonts w:ascii="Arial" w:eastAsia="Times New Roman" w:hAnsi="Arial" w:cs="Arial"/>
          <w:noProof/>
          <w:color w:val="111111"/>
          <w:sz w:val="23"/>
          <w:szCs w:val="23"/>
        </w:rPr>
        <w:t>Working with many apheresis products, I know the problem very well. I wish the developers can share some data on it and come up with recommendations.</w:t>
      </w:r>
      <w:permStart w:id="0" w:edGrp="everyone"/>
      <w:permEnd w:id="0"/>
    </w:p>
    <w:p w:rsidR="00B34ADB" w:rsidRPr="00B34ADB" w:rsidRDefault="00B34ADB" w:rsidP="00B34ADB">
      <w:pPr>
        <w:shd w:val="clear" w:color="auto" w:fill="FFFFFF"/>
        <w:spacing w:after="0" w:line="240" w:lineRule="auto"/>
        <w:outlineLvl w:val="0"/>
        <w:rPr>
          <w:rFonts w:ascii="Georgia" w:eastAsia="Times New Roman" w:hAnsi="Georgia" w:cs="Times New Roman"/>
          <w:noProof/>
          <w:color w:val="111111"/>
          <w:kern w:val="36"/>
          <w:sz w:val="40"/>
          <w:szCs w:val="40"/>
        </w:rPr>
      </w:pPr>
    </w:p>
    <w:p w:rsidR="00B34ADB" w:rsidRPr="00B34ADB" w:rsidRDefault="00B34ADB" w:rsidP="00B34ADB">
      <w:pPr>
        <w:shd w:val="clear" w:color="auto" w:fill="FFFFFF"/>
        <w:spacing w:after="0" w:line="320" w:lineRule="atLeast"/>
        <w:outlineLvl w:val="0"/>
        <w:rPr>
          <w:rFonts w:ascii="Georgia" w:eastAsia="Times New Roman" w:hAnsi="Georgia" w:cs="Times New Roman"/>
          <w:noProof/>
          <w:color w:val="111111"/>
          <w:kern w:val="36"/>
          <w:sz w:val="40"/>
          <w:szCs w:val="40"/>
        </w:rPr>
      </w:pPr>
    </w:p>
    <w:p w:rsidR="00D40B4A" w:rsidRPr="00B34ADB" w:rsidRDefault="00D40B4A">
      <w:pPr>
        <w:rPr>
          <w:noProof/>
        </w:rPr>
      </w:pPr>
    </w:p>
    <w:sectPr w:rsidR="00D40B4A" w:rsidRPr="00B34ADB" w:rsidSect="00453B2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21AA2"/>
    <w:multiLevelType w:val="multilevel"/>
    <w:tmpl w:val="F0A0E8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381F79"/>
    <w:multiLevelType w:val="multilevel"/>
    <w:tmpl w:val="A53699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D160AE"/>
    <w:multiLevelType w:val="multilevel"/>
    <w:tmpl w:val="83EA4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hhiw1zs6CX6SwUuVmMiHNCLS/Ek=" w:salt="W1SNAQgHZkW1MRIRrdQ8yg=="/>
  <w:defaultTabStop w:val="720"/>
  <w:characterSpacingControl w:val="doNotCompress"/>
  <w:compat>
    <w:useFELayout/>
  </w:compat>
  <w:rsids>
    <w:rsidRoot w:val="00B34ADB"/>
    <w:rsid w:val="00035DA6"/>
    <w:rsid w:val="00453B20"/>
    <w:rsid w:val="00B34ADB"/>
    <w:rsid w:val="00D40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B20"/>
  </w:style>
  <w:style w:type="paragraph" w:styleId="Heading1">
    <w:name w:val="heading 1"/>
    <w:basedOn w:val="Normal"/>
    <w:link w:val="Heading1Char"/>
    <w:uiPriority w:val="9"/>
    <w:qFormat/>
    <w:rsid w:val="00B34A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ADB"/>
    <w:rPr>
      <w:rFonts w:ascii="Times New Roman" w:eastAsia="Times New Roman" w:hAnsi="Times New Roman" w:cs="Times New Roman"/>
      <w:b/>
      <w:bCs/>
      <w:kern w:val="36"/>
      <w:sz w:val="48"/>
      <w:szCs w:val="48"/>
    </w:rPr>
  </w:style>
  <w:style w:type="paragraph" w:customStyle="1" w:styleId="headlinemeta">
    <w:name w:val="headline_meta"/>
    <w:basedOn w:val="Normal"/>
    <w:rsid w:val="00B34A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34ADB"/>
  </w:style>
  <w:style w:type="character" w:customStyle="1" w:styleId="fn">
    <w:name w:val="fn"/>
    <w:basedOn w:val="DefaultParagraphFont"/>
    <w:rsid w:val="00B34ADB"/>
  </w:style>
  <w:style w:type="character" w:styleId="Hyperlink">
    <w:name w:val="Hyperlink"/>
    <w:basedOn w:val="DefaultParagraphFont"/>
    <w:uiPriority w:val="99"/>
    <w:semiHidden/>
    <w:unhideWhenUsed/>
    <w:rsid w:val="00B34ADB"/>
    <w:rPr>
      <w:color w:val="0000FF"/>
      <w:u w:val="single"/>
    </w:rPr>
  </w:style>
  <w:style w:type="paragraph" w:styleId="NormalWeb">
    <w:name w:val="Normal (Web)"/>
    <w:basedOn w:val="Normal"/>
    <w:uiPriority w:val="99"/>
    <w:semiHidden/>
    <w:unhideWhenUsed/>
    <w:rsid w:val="00B34A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4ADB"/>
    <w:rPr>
      <w:b/>
      <w:bCs/>
    </w:rPr>
  </w:style>
</w:styles>
</file>

<file path=word/webSettings.xml><?xml version="1.0" encoding="utf-8"?>
<w:webSettings xmlns:r="http://schemas.openxmlformats.org/officeDocument/2006/relationships" xmlns:w="http://schemas.openxmlformats.org/wordprocessingml/2006/main">
  <w:divs>
    <w:div w:id="408042882">
      <w:bodyDiv w:val="1"/>
      <w:marLeft w:val="0"/>
      <w:marRight w:val="0"/>
      <w:marTop w:val="0"/>
      <w:marBottom w:val="0"/>
      <w:divBdr>
        <w:top w:val="none" w:sz="0" w:space="0" w:color="auto"/>
        <w:left w:val="none" w:sz="0" w:space="0" w:color="auto"/>
        <w:bottom w:val="none" w:sz="0" w:space="0" w:color="auto"/>
        <w:right w:val="none" w:sz="0" w:space="0" w:color="auto"/>
      </w:divBdr>
    </w:div>
    <w:div w:id="752892244">
      <w:bodyDiv w:val="1"/>
      <w:marLeft w:val="0"/>
      <w:marRight w:val="0"/>
      <w:marTop w:val="0"/>
      <w:marBottom w:val="0"/>
      <w:divBdr>
        <w:top w:val="none" w:sz="0" w:space="0" w:color="auto"/>
        <w:left w:val="none" w:sz="0" w:space="0" w:color="auto"/>
        <w:bottom w:val="none" w:sz="0" w:space="0" w:color="auto"/>
        <w:right w:val="none" w:sz="0" w:space="0" w:color="auto"/>
      </w:divBdr>
    </w:div>
    <w:div w:id="98068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leaders-forum.com/" TargetMode="External"/><Relationship Id="rId3" Type="http://schemas.openxmlformats.org/officeDocument/2006/relationships/settings" Target="settings.xml"/><Relationship Id="rId7" Type="http://schemas.openxmlformats.org/officeDocument/2006/relationships/hyperlink" Target="http://stemcellassays.com/category/conferen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mcellassays.com/category/clinical/" TargetMode="External"/><Relationship Id="rId11" Type="http://schemas.openxmlformats.org/officeDocument/2006/relationships/theme" Target="theme/theme1.xml"/><Relationship Id="rId5" Type="http://schemas.openxmlformats.org/officeDocument/2006/relationships/hyperlink" Target="http://stemcellassays.com/category/cell-produc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bbr.umd.edu/NISTC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1031</Words>
  <Characters>5883</Characters>
  <Application>Microsoft Office Word</Application>
  <DocSecurity>8</DocSecurity>
  <Lines>49</Lines>
  <Paragraphs>13</Paragraphs>
  <ScaleCrop>false</ScaleCrop>
  <Company/>
  <LinksUpToDate>false</LinksUpToDate>
  <CharactersWithSpaces>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2016-02-13T14:03:00Z</dcterms:created>
  <dcterms:modified xsi:type="dcterms:W3CDTF">2016-02-28T05:42:00Z</dcterms:modified>
</cp:coreProperties>
</file>